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C2" w:rsidRDefault="00B575C2">
      <w:pPr>
        <w:pStyle w:val="ConsPlusNormal"/>
        <w:jc w:val="center"/>
      </w:pPr>
      <w:bookmarkStart w:id="0" w:name="_GoBack"/>
      <w:bookmarkEnd w:id="0"/>
      <w:r>
        <w:t>Определение величины платы за технологическое</w:t>
      </w:r>
    </w:p>
    <w:p w:rsidR="00B575C2" w:rsidRDefault="00B575C2">
      <w:pPr>
        <w:pStyle w:val="ConsPlusNormal"/>
        <w:jc w:val="center"/>
      </w:pPr>
      <w:r>
        <w:t>присоединение на основании утвержденных стандартизированных</w:t>
      </w:r>
    </w:p>
    <w:p w:rsidR="00B575C2" w:rsidRDefault="00B575C2">
      <w:pPr>
        <w:pStyle w:val="ConsPlusNormal"/>
        <w:jc w:val="center"/>
      </w:pPr>
      <w:r>
        <w:t>тарифных ставок</w:t>
      </w:r>
    </w:p>
    <w:p w:rsidR="00B575C2" w:rsidRDefault="00B575C2">
      <w:pPr>
        <w:pStyle w:val="ConsPlusNormal"/>
        <w:ind w:firstLine="540"/>
        <w:jc w:val="both"/>
      </w:pPr>
    </w:p>
    <w:p w:rsidR="00B575C2" w:rsidRPr="00B575C2" w:rsidRDefault="00B575C2">
      <w:pPr>
        <w:pStyle w:val="ConsPlusNormal"/>
        <w:ind w:firstLine="540"/>
        <w:jc w:val="both"/>
        <w:rPr>
          <w:b w:val="0"/>
        </w:rPr>
      </w:pPr>
      <w:r w:rsidRPr="00B575C2">
        <w:rPr>
          <w:b w:val="0"/>
        </w:rPr>
        <w:t xml:space="preserve">29. Величина платы за технологическое присоединение на основании утвержденных стандартизированных тарифных ставок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составляет более 150 метров, определяется по следующей формуле с учетом положений </w:t>
      </w:r>
      <w:hyperlink r:id="rId4" w:history="1">
        <w:r w:rsidRPr="00B575C2">
          <w:rPr>
            <w:b w:val="0"/>
            <w:color w:val="0000FF"/>
          </w:rPr>
          <w:t>пункта 16</w:t>
        </w:r>
      </w:hyperlink>
      <w:r w:rsidRPr="00B575C2">
        <w:rPr>
          <w:b w:val="0"/>
        </w:rPr>
        <w:t xml:space="preserve"> настоящих Методических указаний:</w:t>
      </w:r>
    </w:p>
    <w:p w:rsidR="00B575C2" w:rsidRPr="00B575C2" w:rsidRDefault="00B575C2">
      <w:pPr>
        <w:pStyle w:val="ConsPlusNormal"/>
        <w:ind w:firstLine="540"/>
        <w:jc w:val="both"/>
        <w:rPr>
          <w:b w:val="0"/>
        </w:rPr>
      </w:pPr>
    </w:p>
    <w:p w:rsidR="00B575C2" w:rsidRPr="00B575C2" w:rsidRDefault="00B575C2">
      <w:pPr>
        <w:pStyle w:val="ConsPlusNormal"/>
        <w:ind w:firstLine="540"/>
        <w:jc w:val="both"/>
        <w:rPr>
          <w:b w:val="0"/>
        </w:rPr>
      </w:pPr>
      <w:bookmarkStart w:id="1" w:name="P6"/>
      <w:bookmarkEnd w:id="1"/>
      <w:r w:rsidRPr="00B575C2">
        <w:rPr>
          <w:b w:val="0"/>
          <w:position w:val="-32"/>
        </w:rPr>
        <w:pict>
          <v:shape id="_x0000_i1025" style="width:442.5pt;height:41.25pt" coordsize="" o:spt="100" adj="0,,0" path="" stroked="f">
            <v:stroke joinstyle="miter"/>
            <v:imagedata r:id="rId5" o:title="base_1_164280_92"/>
            <v:formulas/>
            <v:path o:connecttype="segments"/>
          </v:shape>
        </w:pict>
      </w:r>
      <w:r w:rsidRPr="00B575C2">
        <w:rPr>
          <w:b w:val="0"/>
        </w:rPr>
        <w:t xml:space="preserve"> (руб.) (16)</w:t>
      </w:r>
    </w:p>
    <w:p w:rsidR="00B575C2" w:rsidRPr="00B575C2" w:rsidRDefault="00B575C2">
      <w:pPr>
        <w:pStyle w:val="ConsPlusNormal"/>
        <w:ind w:firstLine="540"/>
        <w:jc w:val="both"/>
        <w:rPr>
          <w:b w:val="0"/>
        </w:rPr>
      </w:pPr>
    </w:p>
    <w:p w:rsidR="00B575C2" w:rsidRPr="00B575C2" w:rsidRDefault="00B575C2">
      <w:pPr>
        <w:pStyle w:val="ConsPlusNormal"/>
        <w:ind w:firstLine="540"/>
        <w:jc w:val="both"/>
        <w:rPr>
          <w:b w:val="0"/>
        </w:rPr>
      </w:pPr>
      <w:r w:rsidRPr="00B575C2">
        <w:rPr>
          <w:b w:val="0"/>
        </w:rPr>
        <w:t>где:</w:t>
      </w:r>
    </w:p>
    <w:p w:rsidR="00B575C2" w:rsidRPr="00B575C2" w:rsidRDefault="00B575C2">
      <w:pPr>
        <w:pStyle w:val="ConsPlusNormal"/>
        <w:ind w:firstLine="540"/>
        <w:jc w:val="both"/>
        <w:rPr>
          <w:b w:val="0"/>
        </w:rPr>
      </w:pPr>
      <w:r w:rsidRPr="00B575C2">
        <w:rPr>
          <w:b w:val="0"/>
          <w:position w:val="-12"/>
        </w:rPr>
        <w:pict>
          <v:shape id="_x0000_i1026" style="width:14.25pt;height:19.5pt" coordsize="" o:spt="100" adj="0,,0" path="" stroked="f">
            <v:stroke joinstyle="miter"/>
            <v:imagedata r:id="rId6" o:title="base_1_164280_93"/>
            <v:formulas/>
            <v:path o:connecttype="segments"/>
          </v:shape>
        </w:pict>
      </w:r>
      <w:r w:rsidRPr="00B575C2">
        <w:rPr>
          <w:b w:val="0"/>
        </w:rPr>
        <w:t xml:space="preserve"> - максимальный часовой расход газа газоиспользующего оборудования Заявителя в соответствии с техническими условиями без учета расхода газа, ранее подключенного в рассматриваемой(-ых) точке(-ах) подключения газоиспользующего оборудования Заявителя;</w:t>
      </w:r>
    </w:p>
    <w:p w:rsidR="00B575C2" w:rsidRPr="00B575C2" w:rsidRDefault="00B575C2">
      <w:pPr>
        <w:pStyle w:val="ConsPlusNormal"/>
        <w:ind w:firstLine="540"/>
        <w:jc w:val="both"/>
        <w:rPr>
          <w:b w:val="0"/>
        </w:rPr>
      </w:pPr>
      <w:r w:rsidRPr="00B575C2">
        <w:rPr>
          <w:b w:val="0"/>
          <w:position w:val="-14"/>
        </w:rPr>
        <w:pict>
          <v:shape id="_x0000_i1027" style="width:15.75pt;height:21pt" coordsize="" o:spt="100" adj="0,,0" path="" stroked="f">
            <v:stroke joinstyle="miter"/>
            <v:imagedata r:id="rId7" o:title="base_1_164280_94"/>
            <v:formulas/>
            <v:path o:connecttype="segments"/>
          </v:shape>
        </w:pict>
      </w:r>
      <w:r w:rsidRPr="00B575C2">
        <w:rPr>
          <w:b w:val="0"/>
        </w:rPr>
        <w:t xml:space="preserve"> - протяженность строящегося стального газопровода i-того диапазона диаметров и j-типа способа прокладки;</w:t>
      </w:r>
    </w:p>
    <w:p w:rsidR="00B575C2" w:rsidRPr="00B575C2" w:rsidRDefault="00B575C2">
      <w:pPr>
        <w:pStyle w:val="ConsPlusNormal"/>
        <w:ind w:firstLine="540"/>
        <w:jc w:val="both"/>
        <w:rPr>
          <w:b w:val="0"/>
        </w:rPr>
      </w:pPr>
      <w:r w:rsidRPr="00B575C2">
        <w:rPr>
          <w:b w:val="0"/>
          <w:position w:val="-12"/>
        </w:rPr>
        <w:pict>
          <v:shape id="_x0000_i1028" style="width:15.75pt;height:19.5pt" coordsize="" o:spt="100" adj="0,,0" path="" stroked="f">
            <v:stroke joinstyle="miter"/>
            <v:imagedata r:id="rId8" o:title="base_1_164280_95"/>
            <v:formulas/>
            <v:path o:connecttype="segments"/>
          </v:shape>
        </w:pict>
      </w:r>
      <w:r w:rsidRPr="00B575C2">
        <w:rPr>
          <w:b w:val="0"/>
        </w:rPr>
        <w:t xml:space="preserve"> - протяженность строящегося полиэтиленового газопровода k-того диапазона диаметров;</w:t>
      </w:r>
    </w:p>
    <w:p w:rsidR="00B575C2" w:rsidRPr="00B575C2" w:rsidRDefault="00B575C2">
      <w:pPr>
        <w:pStyle w:val="ConsPlusNormal"/>
        <w:ind w:firstLine="540"/>
        <w:jc w:val="both"/>
        <w:rPr>
          <w:b w:val="0"/>
        </w:rPr>
      </w:pPr>
      <w:r w:rsidRPr="00B575C2">
        <w:rPr>
          <w:b w:val="0"/>
          <w:position w:val="-12"/>
        </w:rPr>
        <w:pict>
          <v:shape id="_x0000_i1029" style="width:18pt;height:19.5pt" coordsize="" o:spt="100" adj="0,,0" path="" stroked="f">
            <v:stroke joinstyle="miter"/>
            <v:imagedata r:id="rId9" o:title="base_1_164280_96"/>
            <v:formulas/>
            <v:path o:connecttype="segments"/>
          </v:shape>
        </w:pict>
      </w:r>
      <w:r w:rsidRPr="00B575C2">
        <w:rPr>
          <w:b w:val="0"/>
        </w:rPr>
        <w:t xml:space="preserve"> - максимальный часовой расход газа газоиспользующего оборудования Заявителя, подключаемый с использованием газорегуляторного пункта n-</w:t>
      </w:r>
      <w:proofErr w:type="spellStart"/>
      <w:r w:rsidRPr="00B575C2">
        <w:rPr>
          <w:b w:val="0"/>
        </w:rPr>
        <w:t>ного</w:t>
      </w:r>
      <w:proofErr w:type="spellEnd"/>
      <w:r w:rsidRPr="00B575C2">
        <w:rPr>
          <w:b w:val="0"/>
        </w:rPr>
        <w:t xml:space="preserve"> диапазона максимального часового расхода газа, без учета расхода газа, ранее подключенного в рассматриваемой(-ых) точке(-ах) подключения газоиспользующего оборудования Заявителя;</w:t>
      </w:r>
    </w:p>
    <w:p w:rsidR="00B575C2" w:rsidRPr="00B575C2" w:rsidRDefault="00B575C2">
      <w:pPr>
        <w:pStyle w:val="ConsPlusNormal"/>
        <w:ind w:firstLine="540"/>
        <w:jc w:val="both"/>
        <w:rPr>
          <w:b w:val="0"/>
        </w:rPr>
      </w:pPr>
      <w:r w:rsidRPr="00B575C2">
        <w:rPr>
          <w:b w:val="0"/>
          <w:position w:val="-12"/>
        </w:rPr>
        <w:pict>
          <v:shape id="_x0000_i1030" style="width:24.75pt;height:19.5pt" coordsize="" o:spt="100" adj="0,,0" path="" stroked="f">
            <v:stroke joinstyle="miter"/>
            <v:imagedata r:id="rId10" o:title="base_1_164280_97"/>
            <v:formulas/>
            <v:path o:connecttype="segments"/>
          </v:shape>
        </w:pict>
      </w:r>
      <w:r w:rsidRPr="00B575C2">
        <w:rPr>
          <w:b w:val="0"/>
        </w:rPr>
        <w:t xml:space="preserve"> - максимальный часовой расход газа газоиспользующего оборудования Заявителя, подключаемый с использованием станции катодной защиты, без учета расхода газа, ранее подключенного в рассматриваемой(-ых) точке(-ах) подключения газоиспользующего оборудования Заявителя;</w:t>
      </w:r>
    </w:p>
    <w:p w:rsidR="00B575C2" w:rsidRPr="00B575C2" w:rsidRDefault="00B575C2">
      <w:pPr>
        <w:pStyle w:val="ConsPlusNormal"/>
        <w:ind w:firstLine="540"/>
        <w:jc w:val="both"/>
        <w:rPr>
          <w:b w:val="0"/>
        </w:rPr>
      </w:pPr>
      <w:r w:rsidRPr="00B575C2">
        <w:rPr>
          <w:b w:val="0"/>
          <w:position w:val="-12"/>
        </w:rPr>
        <w:pict>
          <v:shape id="_x0000_i1031" style="width:21pt;height:19.5pt" coordsize="" o:spt="100" adj="0,,0" path="" stroked="f">
            <v:stroke joinstyle="miter"/>
            <v:imagedata r:id="rId11" o:title="base_1_164280_98"/>
            <v:formulas/>
            <v:path o:connecttype="segments"/>
          </v:shape>
        </w:pict>
      </w:r>
      <w:r w:rsidRPr="00B575C2">
        <w:rPr>
          <w:b w:val="0"/>
        </w:rPr>
        <w:t xml:space="preserve"> - количество фактических подключений (технологических присоединений) к стальному газопроводу i-того диапазона диаметров (полиэтиленовому газопроводу k-того диапазона диаметров).</w:t>
      </w:r>
    </w:p>
    <w:p w:rsidR="00B575C2" w:rsidRPr="00B575C2" w:rsidRDefault="00B575C2">
      <w:pPr>
        <w:pStyle w:val="ConsPlusNormal"/>
        <w:ind w:firstLine="540"/>
        <w:jc w:val="both"/>
        <w:rPr>
          <w:b w:val="0"/>
        </w:rPr>
      </w:pPr>
      <w:r w:rsidRPr="00B575C2">
        <w:rPr>
          <w:b w:val="0"/>
        </w:rPr>
        <w:t xml:space="preserve">30. Величина платы за технологическое присоединение на основании утвержденных стандартизированных тарифных ставок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составляет 150 метров и менее, определяется по следующей формуле с учетом положений </w:t>
      </w:r>
      <w:hyperlink r:id="rId12" w:history="1">
        <w:r w:rsidRPr="00B575C2">
          <w:rPr>
            <w:b w:val="0"/>
            <w:color w:val="0000FF"/>
          </w:rPr>
          <w:t>пункта 16</w:t>
        </w:r>
      </w:hyperlink>
      <w:r w:rsidRPr="00B575C2">
        <w:rPr>
          <w:b w:val="0"/>
        </w:rPr>
        <w:t xml:space="preserve"> настоящих Методических указаний:</w:t>
      </w:r>
    </w:p>
    <w:p w:rsidR="00B575C2" w:rsidRPr="00B575C2" w:rsidRDefault="00B575C2">
      <w:pPr>
        <w:pStyle w:val="ConsPlusNormal"/>
        <w:ind w:firstLine="540"/>
        <w:jc w:val="both"/>
        <w:rPr>
          <w:b w:val="0"/>
        </w:rPr>
      </w:pPr>
    </w:p>
    <w:p w:rsidR="00B575C2" w:rsidRPr="00B575C2" w:rsidRDefault="00B575C2">
      <w:pPr>
        <w:pStyle w:val="ConsPlusNormal"/>
        <w:ind w:firstLine="540"/>
        <w:jc w:val="both"/>
        <w:rPr>
          <w:b w:val="0"/>
        </w:rPr>
      </w:pPr>
      <w:bookmarkStart w:id="2" w:name="P17"/>
      <w:bookmarkEnd w:id="2"/>
      <w:r w:rsidRPr="00B575C2">
        <w:rPr>
          <w:b w:val="0"/>
          <w:position w:val="-30"/>
        </w:rPr>
        <w:pict>
          <v:shape id="_x0000_i1032" style="width:367.5pt;height:39.75pt" coordsize="" o:spt="100" adj="0,,0" path="" stroked="f">
            <v:stroke joinstyle="miter"/>
            <v:imagedata r:id="rId13" o:title="base_1_164280_99"/>
            <v:formulas/>
            <v:path o:connecttype="segments"/>
          </v:shape>
        </w:pict>
      </w:r>
      <w:r w:rsidRPr="00B575C2">
        <w:rPr>
          <w:b w:val="0"/>
        </w:rPr>
        <w:t xml:space="preserve"> (руб.) (17)</w:t>
      </w:r>
    </w:p>
    <w:p w:rsidR="00B575C2" w:rsidRPr="00B575C2" w:rsidRDefault="00B575C2">
      <w:pPr>
        <w:pStyle w:val="ConsPlusNormal"/>
        <w:ind w:firstLine="540"/>
        <w:jc w:val="both"/>
        <w:rPr>
          <w:b w:val="0"/>
        </w:rPr>
      </w:pPr>
    </w:p>
    <w:p w:rsidR="00B575C2" w:rsidRPr="00B575C2" w:rsidRDefault="00B575C2">
      <w:pPr>
        <w:pStyle w:val="ConsPlusNormal"/>
        <w:ind w:firstLine="540"/>
        <w:jc w:val="both"/>
        <w:rPr>
          <w:b w:val="0"/>
        </w:rPr>
      </w:pPr>
      <w:r w:rsidRPr="00B575C2">
        <w:rPr>
          <w:b w:val="0"/>
        </w:rPr>
        <w:t xml:space="preserve">31. Величина платы за технологическое присоединение определяется по </w:t>
      </w:r>
      <w:hyperlink w:anchor="P6" w:history="1">
        <w:r w:rsidRPr="00B575C2">
          <w:rPr>
            <w:b w:val="0"/>
            <w:color w:val="0000FF"/>
          </w:rPr>
          <w:t>формулам 16</w:t>
        </w:r>
      </w:hyperlink>
      <w:r w:rsidRPr="00B575C2">
        <w:rPr>
          <w:b w:val="0"/>
        </w:rPr>
        <w:t xml:space="preserve"> и </w:t>
      </w:r>
      <w:hyperlink w:anchor="P17" w:history="1">
        <w:r w:rsidRPr="00B575C2">
          <w:rPr>
            <w:b w:val="0"/>
            <w:color w:val="0000FF"/>
          </w:rPr>
          <w:t>17</w:t>
        </w:r>
      </w:hyperlink>
      <w:r w:rsidRPr="00B575C2">
        <w:rPr>
          <w:b w:val="0"/>
        </w:rPr>
        <w:t xml:space="preserve"> исходя из максимального часового расхода газа газоиспользующего оборудования Заявителя, определяемого в соответствии с договором о подключении, а также состава и технических параметров сетей газораспределения и объектов на них (протяженность, диаметры, материалы и типы прокладки газопроводов, максимальный часовой расход газа газорегуляторных пунктов и установок), строительство (реконструкция) которых предусмотрена проектом газоснабжения, разработанным с учетом схемы газоснабжения территории поселения (при наличии).</w:t>
      </w:r>
    </w:p>
    <w:p w:rsidR="00725648" w:rsidRPr="00B575C2" w:rsidRDefault="00B575C2" w:rsidP="00B575C2">
      <w:pPr>
        <w:pStyle w:val="ConsPlusNormal"/>
        <w:rPr>
          <w:b w:val="0"/>
        </w:rPr>
      </w:pPr>
      <w:hyperlink r:id="rId14" w:history="1">
        <w:r w:rsidRPr="00B575C2">
          <w:rPr>
            <w:b w:val="0"/>
            <w:i/>
            <w:color w:val="0000FF"/>
          </w:rPr>
          <w:br/>
          <w:t>Приказ ФСТ России от 28.04.2014 N 101-э/3 "Об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t>
        </w:r>
        <w:proofErr w:type="spellStart"/>
        <w:r w:rsidRPr="00B575C2">
          <w:rPr>
            <w:b w:val="0"/>
            <w:i/>
            <w:color w:val="0000FF"/>
          </w:rPr>
          <w:t>КонсультантПлюс</w:t>
        </w:r>
        <w:proofErr w:type="spellEnd"/>
        <w:r w:rsidRPr="00B575C2">
          <w:rPr>
            <w:b w:val="0"/>
            <w:i/>
            <w:color w:val="0000FF"/>
          </w:rPr>
          <w:t>}</w:t>
        </w:r>
        <w:r w:rsidRPr="00B575C2">
          <w:rPr>
            <w:b w:val="0"/>
            <w:i/>
            <w:color w:val="0000FF"/>
          </w:rPr>
          <w:br/>
        </w:r>
      </w:hyperlink>
    </w:p>
    <w:sectPr w:rsidR="00725648" w:rsidRPr="00B575C2" w:rsidSect="00B575C2">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C2"/>
    <w:rsid w:val="00725648"/>
    <w:rsid w:val="00B5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FF6DC-C10E-4CF2-9961-2CDF3392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5C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hyperlink" Target="consultantplus://offline/ref=248437A095F0EFE89D14F43E4F751A4E6773237102EECCF9757E487D1956CB4ED64C612C120AFBEDE7n1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hyperlink" Target="consultantplus://offline/ref=248437A095F0EFE89D14F43E4F751A4E6773237102EECCF9757E487D1956CB4ED64C612C120AFBEDE7n1L" TargetMode="External"/><Relationship Id="rId9" Type="http://schemas.openxmlformats.org/officeDocument/2006/relationships/image" Target="media/image5.wmf"/><Relationship Id="rId14" Type="http://schemas.openxmlformats.org/officeDocument/2006/relationships/hyperlink" Target="consultantplus://offline/ref=248437A095F0EFE89D14F43E4F751A4E6773237102EECCF9757E487D1956CB4ED64C612C120AFAE8E7n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GLinginer</dc:creator>
  <cp:keywords/>
  <dc:description/>
  <cp:lastModifiedBy>GLinginer</cp:lastModifiedBy>
  <cp:revision>1</cp:revision>
  <dcterms:created xsi:type="dcterms:W3CDTF">2015-11-26T11:38:00Z</dcterms:created>
  <dcterms:modified xsi:type="dcterms:W3CDTF">2015-11-26T11:40:00Z</dcterms:modified>
</cp:coreProperties>
</file>